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9E7C" w14:textId="77777777" w:rsidR="00525DE0" w:rsidRDefault="00BA755D">
      <w:pPr>
        <w:rPr>
          <w:lang w:val="mi-NZ"/>
        </w:rPr>
      </w:pPr>
    </w:p>
    <w:p w14:paraId="4637EC1D" w14:textId="77777777" w:rsidR="00BA755D" w:rsidRDefault="00BA755D">
      <w:pPr>
        <w:rPr>
          <w:lang w:val="mi-NZ"/>
        </w:rPr>
      </w:pPr>
    </w:p>
    <w:p w14:paraId="6A69F21E" w14:textId="77777777" w:rsidR="00BA755D" w:rsidRPr="00BA755D" w:rsidRDefault="00BA755D" w:rsidP="00BA755D">
      <w:pPr>
        <w:pStyle w:val="Caption"/>
        <w:rPr>
          <w:i w:val="0"/>
          <w:color w:val="auto"/>
          <w:sz w:val="24"/>
        </w:rPr>
      </w:pPr>
      <w:r w:rsidRPr="00FB2A64">
        <w:rPr>
          <w:rStyle w:val="Hyperlink"/>
          <w:i w:val="0"/>
          <w:sz w:val="24"/>
        </w:rPr>
        <w:t xml:space="preserve">Table </w:t>
      </w:r>
      <w:r w:rsidRPr="00FB2A64">
        <w:rPr>
          <w:rStyle w:val="Hyperlink"/>
          <w:i w:val="0"/>
          <w:sz w:val="24"/>
        </w:rPr>
        <w:fldChar w:fldCharType="begin"/>
      </w:r>
      <w:r w:rsidRPr="00FB2A64">
        <w:rPr>
          <w:rStyle w:val="Hyperlink"/>
          <w:i w:val="0"/>
          <w:sz w:val="24"/>
        </w:rPr>
        <w:instrText xml:space="preserve"> SEQ Table \* ARABIC </w:instrText>
      </w:r>
      <w:r w:rsidRPr="00FB2A64">
        <w:rPr>
          <w:rStyle w:val="Hyperlink"/>
          <w:i w:val="0"/>
          <w:sz w:val="24"/>
        </w:rPr>
        <w:fldChar w:fldCharType="separate"/>
      </w:r>
      <w:r>
        <w:rPr>
          <w:rStyle w:val="Hyperlink"/>
          <w:i w:val="0"/>
          <w:noProof/>
          <w:sz w:val="24"/>
        </w:rPr>
        <w:t>1</w:t>
      </w:r>
      <w:r w:rsidRPr="00FB2A64">
        <w:rPr>
          <w:rStyle w:val="Hyperlink"/>
          <w:i w:val="0"/>
          <w:sz w:val="24"/>
        </w:rPr>
        <w:fldChar w:fldCharType="end"/>
      </w:r>
      <w:r w:rsidRPr="00FB2A64">
        <w:rPr>
          <w:rStyle w:val="Hyperlink"/>
          <w:i w:val="0"/>
          <w:sz w:val="24"/>
        </w:rPr>
        <w:t>. Forman's taxonomy of historic and recent theological institutions</w:t>
      </w:r>
      <w:bookmarkStart w:id="0" w:name="_GoBack"/>
      <w:bookmarkEnd w:id="0"/>
    </w:p>
    <w:p w14:paraId="7D7A6414" w14:textId="77777777" w:rsidR="00BA755D" w:rsidRDefault="00BA755D">
      <w:pPr>
        <w:rPr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2455"/>
        <w:gridCol w:w="3782"/>
      </w:tblGrid>
      <w:tr w:rsidR="00BA755D" w:rsidRPr="0022195E" w14:paraId="23FB9F18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5B5E44C8" w14:textId="77777777" w:rsidR="00BA755D" w:rsidRPr="0022195E" w:rsidRDefault="00BA755D" w:rsidP="00C476C6">
            <w:pPr>
              <w:rPr>
                <w:rStyle w:val="Hyperlink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4A818DB0" w14:textId="77777777" w:rsidR="00BA755D" w:rsidRPr="0022195E" w:rsidRDefault="00BA755D" w:rsidP="00C476C6">
            <w:pPr>
              <w:spacing w:line="480" w:lineRule="auto"/>
              <w:jc w:val="center"/>
              <w:rPr>
                <w:rStyle w:val="Hyperlink"/>
              </w:rPr>
            </w:pPr>
            <w:r w:rsidRPr="0022195E">
              <w:rPr>
                <w:rStyle w:val="Hyperlink"/>
              </w:rPr>
              <w:t>Historic</w:t>
            </w:r>
          </w:p>
        </w:tc>
        <w:tc>
          <w:tcPr>
            <w:tcW w:w="3782" w:type="dxa"/>
            <w:shd w:val="clear" w:color="auto" w:fill="D9D9D9" w:themeFill="background1" w:themeFillShade="D9"/>
          </w:tcPr>
          <w:p w14:paraId="67257B64" w14:textId="77777777" w:rsidR="00BA755D" w:rsidRPr="0022195E" w:rsidRDefault="00BA755D" w:rsidP="00C476C6">
            <w:pPr>
              <w:spacing w:line="480" w:lineRule="auto"/>
              <w:jc w:val="center"/>
              <w:rPr>
                <w:rStyle w:val="Hyperlink"/>
              </w:rPr>
            </w:pPr>
            <w:r w:rsidRPr="0022195E">
              <w:rPr>
                <w:rStyle w:val="Hyperlink"/>
              </w:rPr>
              <w:t>Recent</w:t>
            </w:r>
          </w:p>
        </w:tc>
      </w:tr>
      <w:tr w:rsidR="00BA755D" w:rsidRPr="0022195E" w14:paraId="6B836979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0713278D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Location</w:t>
            </w:r>
          </w:p>
        </w:tc>
        <w:tc>
          <w:tcPr>
            <w:tcW w:w="2455" w:type="dxa"/>
          </w:tcPr>
          <w:p w14:paraId="04E0F8CF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Close to villages. Students connected to familial networks.</w:t>
            </w:r>
          </w:p>
        </w:tc>
        <w:tc>
          <w:tcPr>
            <w:tcW w:w="3782" w:type="dxa"/>
          </w:tcPr>
          <w:p w14:paraId="45B5D399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 xml:space="preserve">In major urban </w:t>
            </w:r>
            <w:proofErr w:type="spellStart"/>
            <w:r w:rsidRPr="0022195E">
              <w:rPr>
                <w:rStyle w:val="Hyperlink"/>
              </w:rPr>
              <w:t>centres</w:t>
            </w:r>
            <w:proofErr w:type="spellEnd"/>
            <w:r w:rsidRPr="0022195E">
              <w:rPr>
                <w:rStyle w:val="Hyperlink"/>
              </w:rPr>
              <w:t>. Students removed from familial networks. Requires travel and increased accommodation costs.</w:t>
            </w:r>
          </w:p>
        </w:tc>
      </w:tr>
      <w:tr w:rsidR="00BA755D" w:rsidRPr="0022195E" w14:paraId="2823069A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2B723F71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Curriculum</w:t>
            </w:r>
          </w:p>
        </w:tc>
        <w:tc>
          <w:tcPr>
            <w:tcW w:w="2455" w:type="dxa"/>
          </w:tcPr>
          <w:p w14:paraId="58F8AEE3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Taught in vernacular</w:t>
            </w:r>
            <w:r>
              <w:rPr>
                <w:rStyle w:val="Hyperlink"/>
              </w:rPr>
              <w:t>.</w:t>
            </w:r>
            <w:r w:rsidRPr="0022195E">
              <w:rPr>
                <w:rStyle w:val="Hyperlink"/>
              </w:rPr>
              <w:t xml:space="preserve"> </w:t>
            </w:r>
          </w:p>
          <w:p w14:paraId="575A1653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Curriculum includes theology, literacy</w:t>
            </w:r>
            <w:r>
              <w:rPr>
                <w:rStyle w:val="Hyperlink"/>
              </w:rPr>
              <w:t>,</w:t>
            </w:r>
            <w:r w:rsidRPr="0022195E">
              <w:rPr>
                <w:rStyle w:val="Hyperlink"/>
              </w:rPr>
              <w:t xml:space="preserve"> and gardening, to ensure sustainability.</w:t>
            </w:r>
          </w:p>
          <w:p w14:paraId="36176284" w14:textId="77777777" w:rsidR="00BA755D" w:rsidRPr="0022195E" w:rsidRDefault="00BA755D" w:rsidP="00C476C6">
            <w:pPr>
              <w:rPr>
                <w:rStyle w:val="Hyperlink"/>
              </w:rPr>
            </w:pPr>
          </w:p>
        </w:tc>
        <w:tc>
          <w:tcPr>
            <w:tcW w:w="3782" w:type="dxa"/>
          </w:tcPr>
          <w:p w14:paraId="3A2B3F2A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Courses taught in English. Greater library resources, but in an ‘alien’ tongue. Implementation of international higher education benchmarking.</w:t>
            </w:r>
            <w:r>
              <w:rPr>
                <w:rStyle w:val="Hyperlink"/>
              </w:rPr>
              <w:t xml:space="preserve"> </w:t>
            </w:r>
            <w:r w:rsidRPr="0022195E">
              <w:rPr>
                <w:rStyle w:val="Hyperlink"/>
              </w:rPr>
              <w:t>Curriculum includes theology and sociology. Theoretical frames allow critique of context and tradition.</w:t>
            </w:r>
          </w:p>
        </w:tc>
      </w:tr>
      <w:tr w:rsidR="00BA755D" w:rsidRPr="0022195E" w14:paraId="24960C12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62C0FB57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Practices of learning</w:t>
            </w:r>
          </w:p>
        </w:tc>
        <w:tc>
          <w:tcPr>
            <w:tcW w:w="2455" w:type="dxa"/>
          </w:tcPr>
          <w:p w14:paraId="207717B1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Lower pre-requisites.</w:t>
            </w:r>
          </w:p>
          <w:p w14:paraId="13D4A809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Less time for study, due to p</w:t>
            </w:r>
            <w:r>
              <w:rPr>
                <w:rStyle w:val="Hyperlink"/>
              </w:rPr>
              <w:t>ractical gardening requirements.</w:t>
            </w:r>
          </w:p>
        </w:tc>
        <w:tc>
          <w:tcPr>
            <w:tcW w:w="3782" w:type="dxa"/>
          </w:tcPr>
          <w:p w14:paraId="603F26BA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Higher pre-requisites</w:t>
            </w:r>
            <w:r w:rsidRPr="0022195E">
              <w:rPr>
                <w:rFonts w:eastAsia="Times New Roman"/>
                <w:lang w:val="en-NZ" w:eastAsia="en-US"/>
              </w:rPr>
              <w:t>.</w:t>
            </w:r>
            <w:r w:rsidRPr="0022195E">
              <w:rPr>
                <w:rStyle w:val="Hyperlink"/>
              </w:rPr>
              <w:t xml:space="preserve"> More time for study, due to a decrease in the time needed for gardening.</w:t>
            </w:r>
          </w:p>
          <w:p w14:paraId="71BD9605" w14:textId="77777777" w:rsidR="00BA755D" w:rsidRPr="0022195E" w:rsidRDefault="00BA755D" w:rsidP="00C476C6">
            <w:pPr>
              <w:rPr>
                <w:rStyle w:val="Hyperlink"/>
              </w:rPr>
            </w:pPr>
          </w:p>
          <w:p w14:paraId="11311F9A" w14:textId="77777777" w:rsidR="00BA755D" w:rsidRPr="0022195E" w:rsidRDefault="00BA755D" w:rsidP="00C476C6">
            <w:pPr>
              <w:rPr>
                <w:rStyle w:val="Hyperlink"/>
              </w:rPr>
            </w:pPr>
          </w:p>
        </w:tc>
      </w:tr>
      <w:tr w:rsidR="00BA755D" w:rsidRPr="0022195E" w14:paraId="1256C6FE" w14:textId="77777777" w:rsidTr="00C476C6">
        <w:trPr>
          <w:trHeight w:val="1457"/>
        </w:trPr>
        <w:tc>
          <w:tcPr>
            <w:tcW w:w="1764" w:type="dxa"/>
            <w:shd w:val="clear" w:color="auto" w:fill="F2F2F2" w:themeFill="background1" w:themeFillShade="F2"/>
          </w:tcPr>
          <w:p w14:paraId="2B59E010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Economic</w:t>
            </w:r>
          </w:p>
        </w:tc>
        <w:tc>
          <w:tcPr>
            <w:tcW w:w="2455" w:type="dxa"/>
          </w:tcPr>
          <w:p w14:paraId="31F59144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Cheaper, requiring less staff and based on a gardening economy, which is essentially self-sufficient.</w:t>
            </w:r>
          </w:p>
        </w:tc>
        <w:tc>
          <w:tcPr>
            <w:tcW w:w="3782" w:type="dxa"/>
          </w:tcPr>
          <w:p w14:paraId="34D2B42C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Requires significant external funding, both for staff and student support</w:t>
            </w:r>
            <w:r>
              <w:rPr>
                <w:rStyle w:val="Hyperlink"/>
              </w:rPr>
              <w:t>.</w:t>
            </w:r>
          </w:p>
        </w:tc>
      </w:tr>
      <w:tr w:rsidR="00BA755D" w:rsidRPr="0022195E" w14:paraId="54BA31E6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261CAAEF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Educational</w:t>
            </w:r>
          </w:p>
        </w:tc>
        <w:tc>
          <w:tcPr>
            <w:tcW w:w="2455" w:type="dxa"/>
          </w:tcPr>
          <w:p w14:paraId="34D65031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Theological colleges were the main educational option and gained the most capable students.</w:t>
            </w:r>
          </w:p>
        </w:tc>
        <w:tc>
          <w:tcPr>
            <w:tcW w:w="3782" w:type="dxa"/>
          </w:tcPr>
          <w:p w14:paraId="1CCF3893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The rise in educational options across the Pacific means theological colleges are competing for students.</w:t>
            </w:r>
          </w:p>
        </w:tc>
      </w:tr>
      <w:tr w:rsidR="00BA755D" w:rsidRPr="0022195E" w14:paraId="46928A27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06191DE0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Demographics</w:t>
            </w:r>
          </w:p>
        </w:tc>
        <w:tc>
          <w:tcPr>
            <w:tcW w:w="2455" w:type="dxa"/>
          </w:tcPr>
          <w:p w14:paraId="0C9BBB46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Average age 40</w:t>
            </w:r>
            <w:r>
              <w:rPr>
                <w:rStyle w:val="Hyperlink"/>
              </w:rPr>
              <w:t>.</w:t>
            </w:r>
          </w:p>
        </w:tc>
        <w:tc>
          <w:tcPr>
            <w:tcW w:w="3782" w:type="dxa"/>
          </w:tcPr>
          <w:p w14:paraId="4D6C15F1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Younger cohort in twenties</w:t>
            </w:r>
            <w:r>
              <w:rPr>
                <w:rStyle w:val="Hyperlink"/>
              </w:rPr>
              <w:t>.</w:t>
            </w:r>
          </w:p>
        </w:tc>
      </w:tr>
      <w:tr w:rsidR="00BA755D" w:rsidRPr="0022195E" w14:paraId="6C75FC19" w14:textId="77777777" w:rsidTr="00C476C6">
        <w:tc>
          <w:tcPr>
            <w:tcW w:w="1764" w:type="dxa"/>
            <w:shd w:val="clear" w:color="auto" w:fill="F2F2F2" w:themeFill="background1" w:themeFillShade="F2"/>
          </w:tcPr>
          <w:p w14:paraId="7ECADE92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Teaching resources</w:t>
            </w:r>
          </w:p>
        </w:tc>
        <w:tc>
          <w:tcPr>
            <w:tcW w:w="2455" w:type="dxa"/>
          </w:tcPr>
          <w:p w14:paraId="47C9702A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One teacher.</w:t>
            </w:r>
          </w:p>
        </w:tc>
        <w:tc>
          <w:tcPr>
            <w:tcW w:w="3782" w:type="dxa"/>
          </w:tcPr>
          <w:p w14:paraId="15E0CF1B" w14:textId="77777777" w:rsidR="00BA755D" w:rsidRPr="0022195E" w:rsidRDefault="00BA755D" w:rsidP="00C476C6">
            <w:pPr>
              <w:rPr>
                <w:rStyle w:val="Hyperlink"/>
              </w:rPr>
            </w:pPr>
            <w:r w:rsidRPr="0022195E">
              <w:rPr>
                <w:rStyle w:val="Hyperlink"/>
              </w:rPr>
              <w:t>Team of specialists, often with a high degree of dependence on foreign personnel</w:t>
            </w:r>
            <w:r>
              <w:rPr>
                <w:rStyle w:val="Hyperlink"/>
              </w:rPr>
              <w:t>.</w:t>
            </w:r>
          </w:p>
        </w:tc>
      </w:tr>
    </w:tbl>
    <w:p w14:paraId="05553B41" w14:textId="77777777" w:rsidR="00BA755D" w:rsidRPr="00BA755D" w:rsidRDefault="00BA755D"/>
    <w:sectPr w:rsidR="00BA755D" w:rsidRPr="00BA755D" w:rsidSect="003C1507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5D"/>
    <w:rsid w:val="00286681"/>
    <w:rsid w:val="002F0FAA"/>
    <w:rsid w:val="0036235B"/>
    <w:rsid w:val="00391FFB"/>
    <w:rsid w:val="003C1507"/>
    <w:rsid w:val="004A7ECD"/>
    <w:rsid w:val="008529EF"/>
    <w:rsid w:val="00AC10EC"/>
    <w:rsid w:val="00BA755D"/>
    <w:rsid w:val="00BA7CB3"/>
    <w:rsid w:val="00C105DF"/>
    <w:rsid w:val="00C218C8"/>
    <w:rsid w:val="00D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481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55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5D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755D"/>
    <w:rPr>
      <w:color w:val="auto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A75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55D"/>
    <w:rPr>
      <w:rFonts w:asciiTheme="minorHAnsi" w:eastAsiaTheme="minorHAnsi" w:hAnsiTheme="minorHAnsi"/>
      <w:lang w:val="en-NZ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55D"/>
    <w:rPr>
      <w:rFonts w:eastAsiaTheme="minorHAnsi" w:cs="Times New Roman"/>
      <w:lang w:val="en-NZ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A755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Macintosh Word</Application>
  <DocSecurity>0</DocSecurity>
  <Lines>10</Lines>
  <Paragraphs>2</Paragraphs>
  <ScaleCrop>false</ScaleCrop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1</cp:revision>
  <dcterms:created xsi:type="dcterms:W3CDTF">2019-05-27T09:30:00Z</dcterms:created>
  <dcterms:modified xsi:type="dcterms:W3CDTF">2019-05-27T09:32:00Z</dcterms:modified>
</cp:coreProperties>
</file>