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9822E" w14:textId="77777777" w:rsidR="00A37639" w:rsidRPr="00A37639" w:rsidRDefault="00A37639" w:rsidP="00A37639">
      <w:pPr>
        <w:pBdr>
          <w:top w:val="nil"/>
          <w:left w:val="nil"/>
          <w:bottom w:val="nil"/>
          <w:right w:val="nil"/>
          <w:between w:val="nil"/>
        </w:pBdr>
        <w:jc w:val="center"/>
        <w:rPr>
          <w:rFonts w:ascii="Times" w:eastAsia="Times" w:hAnsi="Times" w:cs="Times"/>
          <w:b/>
          <w:color w:val="000000"/>
        </w:rPr>
      </w:pPr>
      <w:bookmarkStart w:id="0" w:name="_GoBack"/>
      <w:bookmarkEnd w:id="0"/>
      <w:r w:rsidRPr="00A37639">
        <w:rPr>
          <w:rFonts w:ascii="Times" w:eastAsia="Times" w:hAnsi="Times" w:cs="Times"/>
          <w:b/>
          <w:color w:val="000000"/>
        </w:rPr>
        <w:t>Narratives of navigation: Refugee-background women’s higher education journeys in Bangladesh and New Zealand</w:t>
      </w:r>
    </w:p>
    <w:p w14:paraId="6A73C080" w14:textId="77777777" w:rsidR="00A37639" w:rsidRDefault="00A37639" w:rsidP="00165FEB">
      <w:pPr>
        <w:rPr>
          <w:rFonts w:ascii="Times" w:eastAsia="Times" w:hAnsi="Times" w:cs="Times"/>
          <w:b/>
          <w:color w:val="FF0000"/>
        </w:rPr>
      </w:pPr>
    </w:p>
    <w:p w14:paraId="75ACEBA1" w14:textId="0E08E688" w:rsidR="002533A8" w:rsidRPr="002533A8" w:rsidRDefault="002533A8" w:rsidP="00165FEB">
      <w:pPr>
        <w:rPr>
          <w:rFonts w:ascii="Times" w:eastAsia="Times" w:hAnsi="Times" w:cs="Times"/>
          <w:color w:val="000000" w:themeColor="text1"/>
        </w:rPr>
      </w:pPr>
      <w:r>
        <w:rPr>
          <w:rFonts w:ascii="Times" w:eastAsia="Times" w:hAnsi="Times" w:cs="Times"/>
          <w:color w:val="000000" w:themeColor="text1"/>
        </w:rPr>
        <w:t>We are grateful</w:t>
      </w:r>
      <w:r w:rsidRPr="002533A8">
        <w:rPr>
          <w:rFonts w:ascii="Times" w:eastAsia="Times" w:hAnsi="Times" w:cs="Times"/>
          <w:color w:val="000000" w:themeColor="text1"/>
        </w:rPr>
        <w:t xml:space="preserve"> to both reviewers for their comments, suggestions and insights</w:t>
      </w:r>
      <w:r w:rsidR="00C43375">
        <w:rPr>
          <w:rFonts w:ascii="Times" w:eastAsia="Times" w:hAnsi="Times" w:cs="Times"/>
          <w:color w:val="000000" w:themeColor="text1"/>
        </w:rPr>
        <w:t>, and to the Editor for her guidance regarding our revisions</w:t>
      </w:r>
      <w:r w:rsidRPr="002533A8">
        <w:rPr>
          <w:rFonts w:ascii="Times" w:eastAsia="Times" w:hAnsi="Times" w:cs="Times"/>
          <w:color w:val="000000" w:themeColor="text1"/>
        </w:rPr>
        <w:t>. Our responses to the suggestions and critiques offered by Reviewer 1 are listed below.</w:t>
      </w:r>
      <w:r>
        <w:rPr>
          <w:rFonts w:ascii="Times" w:eastAsia="Times" w:hAnsi="Times" w:cs="Times"/>
          <w:color w:val="000000" w:themeColor="text1"/>
        </w:rPr>
        <w:t xml:space="preserve"> Please note, all changes to the original manuscript have been made in red font</w:t>
      </w:r>
      <w:r w:rsidR="009C4486">
        <w:rPr>
          <w:rFonts w:ascii="Times" w:eastAsia="Times" w:hAnsi="Times" w:cs="Times"/>
          <w:color w:val="000000" w:themeColor="text1"/>
        </w:rPr>
        <w:t>. P</w:t>
      </w:r>
      <w:r>
        <w:rPr>
          <w:rFonts w:ascii="Times" w:eastAsia="Times" w:hAnsi="Times" w:cs="Times"/>
          <w:color w:val="000000" w:themeColor="text1"/>
        </w:rPr>
        <w:t xml:space="preserve">age numbers </w:t>
      </w:r>
      <w:r w:rsidR="009C4486">
        <w:rPr>
          <w:rFonts w:ascii="Times" w:eastAsia="Times" w:hAnsi="Times" w:cs="Times"/>
          <w:color w:val="000000" w:themeColor="text1"/>
        </w:rPr>
        <w:t xml:space="preserve">listed below </w:t>
      </w:r>
      <w:r>
        <w:rPr>
          <w:rFonts w:ascii="Times" w:eastAsia="Times" w:hAnsi="Times" w:cs="Times"/>
          <w:color w:val="000000" w:themeColor="text1"/>
        </w:rPr>
        <w:t>refer to the blinded version</w:t>
      </w:r>
      <w:r w:rsidR="00C43375">
        <w:rPr>
          <w:rFonts w:ascii="Times" w:eastAsia="Times" w:hAnsi="Times" w:cs="Times"/>
          <w:color w:val="000000" w:themeColor="text1"/>
        </w:rPr>
        <w:t xml:space="preserve"> of the manuscript</w:t>
      </w:r>
      <w:r>
        <w:rPr>
          <w:rFonts w:ascii="Times" w:eastAsia="Times" w:hAnsi="Times" w:cs="Times"/>
          <w:color w:val="000000" w:themeColor="text1"/>
        </w:rPr>
        <w:t>.</w:t>
      </w:r>
    </w:p>
    <w:p w14:paraId="05D87D5F" w14:textId="77777777" w:rsidR="002533A8" w:rsidRDefault="002533A8" w:rsidP="00165FEB"/>
    <w:tbl>
      <w:tblPr>
        <w:tblStyle w:val="TableGrid"/>
        <w:tblW w:w="0" w:type="auto"/>
        <w:tblLook w:val="04A0" w:firstRow="1" w:lastRow="0" w:firstColumn="1" w:lastColumn="0" w:noHBand="0" w:noVBand="1"/>
      </w:tblPr>
      <w:tblGrid>
        <w:gridCol w:w="4505"/>
        <w:gridCol w:w="4505"/>
      </w:tblGrid>
      <w:tr w:rsidR="00165FEB" w14:paraId="3BCF4BC6" w14:textId="77777777" w:rsidTr="00A37639">
        <w:tc>
          <w:tcPr>
            <w:tcW w:w="4505" w:type="dxa"/>
          </w:tcPr>
          <w:p w14:paraId="5D4E5EFB" w14:textId="77777777" w:rsidR="00165FEB" w:rsidRPr="00165FEB" w:rsidRDefault="00165FEB" w:rsidP="00A37639">
            <w:pPr>
              <w:rPr>
                <w:b/>
              </w:rPr>
            </w:pPr>
            <w:r w:rsidRPr="00165FEB">
              <w:rPr>
                <w:b/>
              </w:rPr>
              <w:t>Reviewer’s comments</w:t>
            </w:r>
          </w:p>
        </w:tc>
        <w:tc>
          <w:tcPr>
            <w:tcW w:w="4505" w:type="dxa"/>
          </w:tcPr>
          <w:p w14:paraId="229EA93D" w14:textId="77777777" w:rsidR="00165FEB" w:rsidRPr="00165FEB" w:rsidRDefault="00165FEB" w:rsidP="00A37639">
            <w:pPr>
              <w:rPr>
                <w:b/>
              </w:rPr>
            </w:pPr>
            <w:r w:rsidRPr="00165FEB">
              <w:rPr>
                <w:b/>
              </w:rPr>
              <w:t>Author’s response</w:t>
            </w:r>
          </w:p>
        </w:tc>
      </w:tr>
      <w:tr w:rsidR="00A37639" w14:paraId="21290BBF" w14:textId="77777777" w:rsidTr="00A37639">
        <w:tc>
          <w:tcPr>
            <w:tcW w:w="4505" w:type="dxa"/>
          </w:tcPr>
          <w:p w14:paraId="1A9AB0C4" w14:textId="77777777" w:rsidR="00A37639" w:rsidRDefault="00A37639" w:rsidP="00A37639">
            <w:r>
              <w:t>M</w:t>
            </w:r>
            <w:r w:rsidRPr="00A37639">
              <w:t>ore clearly outline the gendered focus of the article (and the need for it in terms of university participation) at the start of the article.</w:t>
            </w:r>
            <w:r>
              <w:t xml:space="preserve"> </w:t>
            </w:r>
          </w:p>
        </w:tc>
        <w:tc>
          <w:tcPr>
            <w:tcW w:w="4505" w:type="dxa"/>
          </w:tcPr>
          <w:p w14:paraId="3B7C0DC5" w14:textId="6DE9BD4D" w:rsidR="00A37639" w:rsidRDefault="008A2AA1" w:rsidP="00A37639">
            <w:r>
              <w:t>Addressed — see</w:t>
            </w:r>
            <w:r w:rsidR="00574C50">
              <w:t xml:space="preserve"> </w:t>
            </w:r>
            <w:r w:rsidR="00BB7F02">
              <w:t>Introduction.</w:t>
            </w:r>
          </w:p>
        </w:tc>
      </w:tr>
      <w:tr w:rsidR="00A37639" w14:paraId="6763035D" w14:textId="77777777" w:rsidTr="00A37639">
        <w:tc>
          <w:tcPr>
            <w:tcW w:w="4505" w:type="dxa"/>
          </w:tcPr>
          <w:p w14:paraId="3EB4554F" w14:textId="77777777" w:rsidR="00A37639" w:rsidRDefault="00A37639" w:rsidP="00A37639">
            <w:r>
              <w:t>More clearly articulate the analytic approach</w:t>
            </w:r>
            <w:r w:rsidR="004203CF">
              <w:t xml:space="preserve"> </w:t>
            </w:r>
            <w:r>
              <w:t>… it would be good to know how the authors engaged with the data and constructed the findings.</w:t>
            </w:r>
          </w:p>
        </w:tc>
        <w:tc>
          <w:tcPr>
            <w:tcW w:w="4505" w:type="dxa"/>
          </w:tcPr>
          <w:p w14:paraId="27399703" w14:textId="42053EA2" w:rsidR="00A37639" w:rsidRDefault="00A74AD3" w:rsidP="00A37639">
            <w:r>
              <w:t>Addressed — see section entitled ‘Our Study</w:t>
            </w:r>
            <w:r w:rsidR="009C4486">
              <w:t>’.</w:t>
            </w:r>
          </w:p>
        </w:tc>
      </w:tr>
      <w:tr w:rsidR="00A37639" w14:paraId="1A00104D" w14:textId="77777777" w:rsidTr="00A37639">
        <w:tc>
          <w:tcPr>
            <w:tcW w:w="4505" w:type="dxa"/>
          </w:tcPr>
          <w:p w14:paraId="5C84E63E" w14:textId="77777777" w:rsidR="00A37639" w:rsidRDefault="00A37639" w:rsidP="00A37639">
            <w:r>
              <w:t>The authors… need to do a better job of situating the contextual differences between NZ and Bangladesh more carefully in their analysis and interpretations.</w:t>
            </w:r>
          </w:p>
        </w:tc>
        <w:tc>
          <w:tcPr>
            <w:tcW w:w="4505" w:type="dxa"/>
          </w:tcPr>
          <w:p w14:paraId="7181C218" w14:textId="3852284A" w:rsidR="00A37639" w:rsidRDefault="008A2AA1" w:rsidP="00A37639">
            <w:r>
              <w:t>Addressed — see sections entitled ‘Narratives of Navigation’, ‘Navigational Supports’, and ‘Concluding Thoughts’.</w:t>
            </w:r>
          </w:p>
        </w:tc>
      </w:tr>
      <w:tr w:rsidR="00A37639" w14:paraId="1C0B031D" w14:textId="77777777" w:rsidTr="00A37639">
        <w:tc>
          <w:tcPr>
            <w:tcW w:w="4505" w:type="dxa"/>
          </w:tcPr>
          <w:p w14:paraId="0F7E1DF0" w14:textId="5429EA68" w:rsidR="00A37639" w:rsidRDefault="00A37639" w:rsidP="00A37639">
            <w:r>
              <w:t>Need to update the figure quite on p. 1</w:t>
            </w:r>
            <w:r w:rsidR="00C43375">
              <w:t xml:space="preserve"> </w:t>
            </w:r>
            <w:r w:rsidR="00C43375" w:rsidRPr="00C43375">
              <w:rPr>
                <w:i/>
              </w:rPr>
              <w:t>(now 2)</w:t>
            </w:r>
            <w:r>
              <w:t xml:space="preserve"> to 3%.</w:t>
            </w:r>
          </w:p>
        </w:tc>
        <w:tc>
          <w:tcPr>
            <w:tcW w:w="4505" w:type="dxa"/>
          </w:tcPr>
          <w:p w14:paraId="744F29FF" w14:textId="77777777" w:rsidR="00A37639" w:rsidRDefault="001A4EA2" w:rsidP="00A37639">
            <w:r>
              <w:t>Addressed.</w:t>
            </w:r>
          </w:p>
        </w:tc>
      </w:tr>
      <w:tr w:rsidR="00A37639" w14:paraId="4440C5C7" w14:textId="77777777" w:rsidTr="00A37639">
        <w:tc>
          <w:tcPr>
            <w:tcW w:w="4505" w:type="dxa"/>
          </w:tcPr>
          <w:p w14:paraId="6D834387" w14:textId="0E053945" w:rsidR="00A37639" w:rsidRDefault="00A37639" w:rsidP="00A37639">
            <w:r>
              <w:t>Remove the word ‘recently’ on p. 3</w:t>
            </w:r>
            <w:r w:rsidR="00C43375">
              <w:t xml:space="preserve"> </w:t>
            </w:r>
            <w:r w:rsidR="00C43375" w:rsidRPr="00C43375">
              <w:rPr>
                <w:i/>
              </w:rPr>
              <w:t>(now 4)</w:t>
            </w:r>
            <w:r>
              <w:t>.</w:t>
            </w:r>
          </w:p>
        </w:tc>
        <w:tc>
          <w:tcPr>
            <w:tcW w:w="4505" w:type="dxa"/>
          </w:tcPr>
          <w:p w14:paraId="5FC283A2" w14:textId="37B9B69F" w:rsidR="00A37639" w:rsidRDefault="00C43375" w:rsidP="00A37639">
            <w:r>
              <w:t xml:space="preserve">Replaced with ‘also </w:t>
            </w:r>
            <w:proofErr w:type="spellStart"/>
            <w:r>
              <w:t>recognises</w:t>
            </w:r>
            <w:proofErr w:type="spellEnd"/>
            <w:r>
              <w:t>’</w:t>
            </w:r>
            <w:r w:rsidR="001A4EA2">
              <w:t>.</w:t>
            </w:r>
          </w:p>
        </w:tc>
      </w:tr>
      <w:tr w:rsidR="00A37639" w14:paraId="59E1002D" w14:textId="77777777" w:rsidTr="00A37639">
        <w:tc>
          <w:tcPr>
            <w:tcW w:w="4505" w:type="dxa"/>
          </w:tcPr>
          <w:p w14:paraId="03F03AAA" w14:textId="77777777" w:rsidR="00A37639" w:rsidRDefault="00A37639" w:rsidP="00A37639">
            <w:r>
              <w:t>What does ‘lack of policy integration’ mean (p. 4)?</w:t>
            </w:r>
          </w:p>
        </w:tc>
        <w:tc>
          <w:tcPr>
            <w:tcW w:w="4505" w:type="dxa"/>
          </w:tcPr>
          <w:p w14:paraId="3207374B" w14:textId="2169ED40" w:rsidR="00A37639" w:rsidRDefault="004B3CFE" w:rsidP="00A37639">
            <w:r>
              <w:t>This refers to a lack of coordination across policy areas</w:t>
            </w:r>
            <w:r w:rsidR="00AB5F54">
              <w:t xml:space="preserve">, or unintended consequences due to particular policy changes. O’Rourke (2011), who we cite here, provides examples from the NZ context, including the 2010-2011 termination of Refugee Study Grants, and introduction of Tertiary Education Policy equity policies that omitted refugee-background students. We have changed the wording here to ‘lack of coordination across policy areas’. </w:t>
            </w:r>
            <w:r w:rsidR="008A2AA1">
              <w:t>We think</w:t>
            </w:r>
            <w:r w:rsidR="00AB5F54">
              <w:t xml:space="preserve"> this is less ambiguous.</w:t>
            </w:r>
          </w:p>
        </w:tc>
      </w:tr>
      <w:tr w:rsidR="00A37639" w14:paraId="4996E592" w14:textId="77777777" w:rsidTr="00A37639">
        <w:tc>
          <w:tcPr>
            <w:tcW w:w="4505" w:type="dxa"/>
          </w:tcPr>
          <w:p w14:paraId="27D0A693" w14:textId="77777777" w:rsidR="00A37639" w:rsidRDefault="00A37639" w:rsidP="00A37639">
            <w:r>
              <w:t>What do you mean by ‘exclusion from support service provision’ (p. 4)?</w:t>
            </w:r>
          </w:p>
        </w:tc>
        <w:tc>
          <w:tcPr>
            <w:tcW w:w="4505" w:type="dxa"/>
          </w:tcPr>
          <w:p w14:paraId="0A932248" w14:textId="78D9CDD1" w:rsidR="00A37639" w:rsidRDefault="00AB5F54" w:rsidP="00A37639">
            <w:r>
              <w:t xml:space="preserve">We </w:t>
            </w:r>
            <w:r w:rsidR="008A2AA1">
              <w:t>see</w:t>
            </w:r>
            <w:r w:rsidR="00782673">
              <w:t xml:space="preserve"> this statement </w:t>
            </w:r>
            <w:r w:rsidR="008A2AA1">
              <w:t>as</w:t>
            </w:r>
            <w:r w:rsidR="00782673">
              <w:t xml:space="preserve"> self-explanatory</w:t>
            </w:r>
            <w:r w:rsidR="008A2AA1">
              <w:t>, and s</w:t>
            </w:r>
            <w:r w:rsidR="00782673">
              <w:t>pecific e</w:t>
            </w:r>
            <w:r>
              <w:t xml:space="preserve">xamples would differ, depending on the context. An example </w:t>
            </w:r>
            <w:r w:rsidR="00782673">
              <w:t>from Bangladesh, is that asylum seekers are not guaranteed access to education at any level. An example from</w:t>
            </w:r>
            <w:r>
              <w:t xml:space="preserve"> NZ is that tertiary education institutions are under no obligation to provide targeted orientation supports to refugee background students, whereas, they must do so for international students, who may have similar orientation needs. </w:t>
            </w:r>
            <w:r w:rsidR="008A2AA1">
              <w:t xml:space="preserve">We are citing literature here, so do </w:t>
            </w:r>
            <w:r w:rsidR="008A2AA1">
              <w:lastRenderedPageBreak/>
              <w:t>not provide additional examples, as this is one point in a long list.</w:t>
            </w:r>
          </w:p>
        </w:tc>
      </w:tr>
      <w:tr w:rsidR="00A37639" w14:paraId="568E477A" w14:textId="77777777" w:rsidTr="00A37639">
        <w:tc>
          <w:tcPr>
            <w:tcW w:w="4505" w:type="dxa"/>
          </w:tcPr>
          <w:p w14:paraId="3CF1DB78" w14:textId="488EF956" w:rsidR="00A37639" w:rsidRDefault="00A37639" w:rsidP="00A37639">
            <w:r>
              <w:lastRenderedPageBreak/>
              <w:t>Point on p. 4</w:t>
            </w:r>
            <w:r w:rsidR="00C43375">
              <w:t xml:space="preserve"> </w:t>
            </w:r>
            <w:r w:rsidR="00C43375" w:rsidRPr="00C43375">
              <w:rPr>
                <w:i/>
              </w:rPr>
              <w:t>(now p. 5)</w:t>
            </w:r>
            <w:r>
              <w:t xml:space="preserve"> that starts “For example, good spoken English coupled with weak written English…” needs a reference or two for substantiation.</w:t>
            </w:r>
          </w:p>
        </w:tc>
        <w:tc>
          <w:tcPr>
            <w:tcW w:w="4505" w:type="dxa"/>
          </w:tcPr>
          <w:p w14:paraId="257D64BC" w14:textId="5D22004F" w:rsidR="00A37639" w:rsidRDefault="00C43375" w:rsidP="00A37639">
            <w:r>
              <w:t>We</w:t>
            </w:r>
            <w:r w:rsidR="00782673">
              <w:t xml:space="preserve"> have </w:t>
            </w:r>
            <w:r>
              <w:t xml:space="preserve">now </w:t>
            </w:r>
            <w:r w:rsidR="008A2AA1">
              <w:t>clarified</w:t>
            </w:r>
            <w:r w:rsidR="00782673">
              <w:t xml:space="preserve"> that we are drawing on O’Rourke (2011)</w:t>
            </w:r>
            <w:r>
              <w:t xml:space="preserve"> here</w:t>
            </w:r>
            <w:r w:rsidR="00782673">
              <w:t>.</w:t>
            </w:r>
          </w:p>
        </w:tc>
      </w:tr>
      <w:tr w:rsidR="00A37639" w14:paraId="76FF53CB" w14:textId="77777777" w:rsidTr="00A37639">
        <w:tc>
          <w:tcPr>
            <w:tcW w:w="4505" w:type="dxa"/>
          </w:tcPr>
          <w:p w14:paraId="2B590297" w14:textId="77777777" w:rsidR="00A37639" w:rsidRDefault="00A37639" w:rsidP="00A37639">
            <w:r>
              <w:t>Be careful with deficit framing with us of ‘lack of knowledge of university’ (p. 5); suggest replacing with unfamiliarity.</w:t>
            </w:r>
          </w:p>
        </w:tc>
        <w:tc>
          <w:tcPr>
            <w:tcW w:w="4505" w:type="dxa"/>
          </w:tcPr>
          <w:p w14:paraId="10C52A95" w14:textId="77777777" w:rsidR="00A37639" w:rsidRDefault="00782673" w:rsidP="00A37639">
            <w:r>
              <w:t>Addressed.</w:t>
            </w:r>
          </w:p>
        </w:tc>
      </w:tr>
    </w:tbl>
    <w:p w14:paraId="3C3E7F65" w14:textId="77777777" w:rsidR="00A37639" w:rsidRPr="00A37639" w:rsidRDefault="00A37639" w:rsidP="00A37639"/>
    <w:sectPr w:rsidR="00A37639" w:rsidRPr="00A37639" w:rsidSect="00B4671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auto"/>
    <w:pitch w:val="variable"/>
    <w:sig w:usb0="20002A87" w:usb1="80000000" w:usb2="00000008"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39"/>
    <w:rsid w:val="00056A86"/>
    <w:rsid w:val="00066CA9"/>
    <w:rsid w:val="000864EF"/>
    <w:rsid w:val="000A372D"/>
    <w:rsid w:val="000D2E74"/>
    <w:rsid w:val="000E5FC7"/>
    <w:rsid w:val="000E6C5E"/>
    <w:rsid w:val="00165FEB"/>
    <w:rsid w:val="001A4EA2"/>
    <w:rsid w:val="001D4A3A"/>
    <w:rsid w:val="00244808"/>
    <w:rsid w:val="00245116"/>
    <w:rsid w:val="002533A8"/>
    <w:rsid w:val="00253BDA"/>
    <w:rsid w:val="002551C0"/>
    <w:rsid w:val="002639E2"/>
    <w:rsid w:val="002A784A"/>
    <w:rsid w:val="002F0273"/>
    <w:rsid w:val="00321247"/>
    <w:rsid w:val="00332870"/>
    <w:rsid w:val="0034184C"/>
    <w:rsid w:val="003610E3"/>
    <w:rsid w:val="00375F4D"/>
    <w:rsid w:val="00386EB0"/>
    <w:rsid w:val="0039457E"/>
    <w:rsid w:val="0039545D"/>
    <w:rsid w:val="003E719D"/>
    <w:rsid w:val="003F1A81"/>
    <w:rsid w:val="003F7251"/>
    <w:rsid w:val="00400926"/>
    <w:rsid w:val="00406430"/>
    <w:rsid w:val="004203CF"/>
    <w:rsid w:val="00476CE8"/>
    <w:rsid w:val="00485805"/>
    <w:rsid w:val="004B3CFE"/>
    <w:rsid w:val="004D4514"/>
    <w:rsid w:val="004F09F6"/>
    <w:rsid w:val="004F2080"/>
    <w:rsid w:val="004F4567"/>
    <w:rsid w:val="00517340"/>
    <w:rsid w:val="0055704C"/>
    <w:rsid w:val="00557888"/>
    <w:rsid w:val="00574C50"/>
    <w:rsid w:val="00594ACF"/>
    <w:rsid w:val="005A0226"/>
    <w:rsid w:val="005A7129"/>
    <w:rsid w:val="005D0AC1"/>
    <w:rsid w:val="005F7087"/>
    <w:rsid w:val="0063688E"/>
    <w:rsid w:val="00647C9A"/>
    <w:rsid w:val="006A0931"/>
    <w:rsid w:val="006A2265"/>
    <w:rsid w:val="006C013B"/>
    <w:rsid w:val="006E1F63"/>
    <w:rsid w:val="006F3079"/>
    <w:rsid w:val="00735581"/>
    <w:rsid w:val="0074338F"/>
    <w:rsid w:val="00753B26"/>
    <w:rsid w:val="00767C67"/>
    <w:rsid w:val="007816C8"/>
    <w:rsid w:val="00782673"/>
    <w:rsid w:val="0079579F"/>
    <w:rsid w:val="007A4C9F"/>
    <w:rsid w:val="007B0217"/>
    <w:rsid w:val="007C04A8"/>
    <w:rsid w:val="007E6D31"/>
    <w:rsid w:val="0081285E"/>
    <w:rsid w:val="0081311A"/>
    <w:rsid w:val="00856BED"/>
    <w:rsid w:val="00886AC6"/>
    <w:rsid w:val="008A2AA1"/>
    <w:rsid w:val="008A4033"/>
    <w:rsid w:val="008B2CEB"/>
    <w:rsid w:val="008B7F64"/>
    <w:rsid w:val="008C315B"/>
    <w:rsid w:val="008F1373"/>
    <w:rsid w:val="00916114"/>
    <w:rsid w:val="0093116B"/>
    <w:rsid w:val="00986D89"/>
    <w:rsid w:val="009A026E"/>
    <w:rsid w:val="009C230E"/>
    <w:rsid w:val="009C3B52"/>
    <w:rsid w:val="009C4486"/>
    <w:rsid w:val="009F4060"/>
    <w:rsid w:val="009F5C26"/>
    <w:rsid w:val="00A1536F"/>
    <w:rsid w:val="00A34433"/>
    <w:rsid w:val="00A348D1"/>
    <w:rsid w:val="00A37639"/>
    <w:rsid w:val="00A55681"/>
    <w:rsid w:val="00A74AD3"/>
    <w:rsid w:val="00AB5F54"/>
    <w:rsid w:val="00AE328C"/>
    <w:rsid w:val="00AF083E"/>
    <w:rsid w:val="00AF74A2"/>
    <w:rsid w:val="00B435BD"/>
    <w:rsid w:val="00B46717"/>
    <w:rsid w:val="00B67F43"/>
    <w:rsid w:val="00BB7F02"/>
    <w:rsid w:val="00C06484"/>
    <w:rsid w:val="00C43375"/>
    <w:rsid w:val="00D105B3"/>
    <w:rsid w:val="00D5620B"/>
    <w:rsid w:val="00D65A4C"/>
    <w:rsid w:val="00D774E1"/>
    <w:rsid w:val="00DF536C"/>
    <w:rsid w:val="00E01E01"/>
    <w:rsid w:val="00E2729C"/>
    <w:rsid w:val="00E41125"/>
    <w:rsid w:val="00E704B4"/>
    <w:rsid w:val="00ED2B59"/>
    <w:rsid w:val="00FD0F4D"/>
    <w:rsid w:val="00FD6C4A"/>
    <w:rsid w:val="00FE1D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1EF2"/>
  <w15:chartTrackingRefBased/>
  <w15:docId w15:val="{1E21CA52-B62C-B648-8B75-B6B0C18D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639"/>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436</Words>
  <Characters>2376</Characters>
  <Application>Microsoft Office Word</Application>
  <DocSecurity>0</DocSecurity>
  <Lines>74</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Vivienne</cp:lastModifiedBy>
  <cp:revision>13</cp:revision>
  <dcterms:created xsi:type="dcterms:W3CDTF">2020-03-30T22:57:00Z</dcterms:created>
  <dcterms:modified xsi:type="dcterms:W3CDTF">2020-04-20T00:43:00Z</dcterms:modified>
  <cp:category/>
</cp:coreProperties>
</file>